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8" w:lineRule="auto"/>
        <w:ind w:left="0" w:firstLine="0"/>
        <w:rPr/>
      </w:pPr>
      <w:r w:rsidDel="00000000" w:rsidR="00000000" w:rsidRPr="00000000">
        <w:rPr>
          <w:rtl w:val="0"/>
        </w:rPr>
      </w:r>
    </w:p>
    <w:p w:rsidR="00000000" w:rsidDel="00000000" w:rsidP="00000000" w:rsidRDefault="00000000" w:rsidRPr="00000000" w14:paraId="00000002">
      <w:pPr>
        <w:pStyle w:val="Heading1"/>
        <w:spacing w:before="38" w:lineRule="auto"/>
        <w:ind w:left="0" w:firstLine="0"/>
        <w:rPr/>
      </w:pPr>
      <w:r w:rsidDel="00000000" w:rsidR="00000000" w:rsidRPr="00000000">
        <w:rPr>
          <w:rtl w:val="0"/>
        </w:rPr>
      </w:r>
    </w:p>
    <w:p w:rsidR="00000000" w:rsidDel="00000000" w:rsidP="00000000" w:rsidRDefault="00000000" w:rsidRPr="00000000" w14:paraId="00000003">
      <w:pPr>
        <w:pStyle w:val="Heading1"/>
        <w:spacing w:before="38" w:lineRule="auto"/>
        <w:ind w:left="0" w:firstLine="0"/>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Aviso de Privacidad Integral de las asesorías legales gratuitas que se brindan a la ciudadanía en materia de derechos ciudadanos.</w:t>
      </w:r>
    </w:p>
    <w:p w:rsidR="00000000" w:rsidDel="00000000" w:rsidP="00000000" w:rsidRDefault="00000000" w:rsidRPr="00000000" w14:paraId="00000005">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 Ayuntamiento de Actopan, Veracruz, con domicilio en el Palacio Municipal S/N, Colonia Centro, C.P. 91480, de Actopan, Veracruz de Ignacio de la Llave; con línea telefónica: 01 (279) 8225031;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pStyle w:val="Heading1"/>
        <w:numPr>
          <w:ilvl w:val="0"/>
          <w:numId w:val="5"/>
        </w:numPr>
        <w:tabs>
          <w:tab w:val="left" w:leader="none" w:pos="810"/>
          <w:tab w:val="left" w:leader="none" w:pos="811"/>
        </w:tabs>
        <w:ind w:left="852" w:hanging="710"/>
        <w:rPr>
          <w:rFonts w:ascii="Arial" w:cs="Arial" w:eastAsia="Arial" w:hAnsi="Arial"/>
          <w:sz w:val="22"/>
          <w:szCs w:val="22"/>
        </w:rPr>
      </w:pPr>
      <w:r w:rsidDel="00000000" w:rsidR="00000000" w:rsidRPr="00000000">
        <w:rPr>
          <w:rFonts w:ascii="Arial" w:cs="Arial" w:eastAsia="Arial" w:hAnsi="Arial"/>
          <w:sz w:val="22"/>
          <w:szCs w:val="22"/>
          <w:rtl w:val="0"/>
        </w:rPr>
        <w:t xml:space="preserve">Finalidades del tratamiento.</w:t>
      </w:r>
    </w:p>
    <w:p w:rsidR="00000000" w:rsidDel="00000000" w:rsidP="00000000" w:rsidRDefault="00000000" w:rsidRPr="00000000" w14:paraId="00000009">
      <w:pPr>
        <w:pStyle w:val="Heading1"/>
        <w:tabs>
          <w:tab w:val="left" w:leader="none" w:pos="810"/>
          <w:tab w:val="left" w:leader="none" w:pos="811"/>
        </w:tabs>
        <w:ind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datos personales que recabemos de Usted, serán exclusivamente utilizados para cumplir con los objetivos y atribuciones de esta Dirección, el tratamiento que se realice será únicamente para las siguientes finalidades: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Atender los asuntos de carácter contencioso en material, civil, penal, fiscal administrativa, en los procesos de defensa jurídica del ámbito Federal o Estatal y protección de los intereses del Ayuntamiento de Xalapa y las dependencias que lo integran, mediante la representación legal.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-Informar los avances de los procedimientos, cuando las áreas del Ayuntamiento le soliciten en razón de sus funciones.</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Efectuar notificaciones en los casos que así se requieran.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Dar cumplimiento resoluciones.</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Llevar un registro por tipo de asunto jurisdiccional o administrativo.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-Cumplimiento de obligaciones de transparencia.</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-Generar reportes o estadísticas, sin que se haga identificable al titular de los datos.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720" w:right="11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pStyle w:val="Heading1"/>
        <w:numPr>
          <w:ilvl w:val="0"/>
          <w:numId w:val="5"/>
        </w:numPr>
        <w:tabs>
          <w:tab w:val="left" w:leader="none" w:pos="810"/>
          <w:tab w:val="left" w:leader="none" w:pos="811"/>
        </w:tabs>
        <w:ind w:left="852" w:hanging="710"/>
        <w:rPr>
          <w:rFonts w:ascii="Arial" w:cs="Arial" w:eastAsia="Arial" w:hAnsi="Arial"/>
          <w:sz w:val="22"/>
          <w:szCs w:val="22"/>
        </w:rPr>
      </w:pPr>
      <w:r w:rsidDel="00000000" w:rsidR="00000000" w:rsidRPr="00000000">
        <w:rPr>
          <w:rFonts w:ascii="Arial" w:cs="Arial" w:eastAsia="Arial" w:hAnsi="Arial"/>
          <w:sz w:val="22"/>
          <w:szCs w:val="22"/>
          <w:rtl w:val="0"/>
        </w:rPr>
        <w:t xml:space="preserve">Datos personales recabados.</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la finalidad antes señalada se solicitarán los siguientes datos personales: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1"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334.0" w:type="dxa"/>
        <w:jc w:val="left"/>
        <w:tblInd w:w="8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16"/>
        <w:gridCol w:w="5118"/>
        <w:tblGridChange w:id="0">
          <w:tblGrid>
            <w:gridCol w:w="3216"/>
            <w:gridCol w:w="5118"/>
          </w:tblGrid>
        </w:tblGridChange>
      </w:tblGrid>
      <w:tr>
        <w:trPr>
          <w:cantSplit w:val="0"/>
          <w:trHeight w:val="292" w:hRule="atLeast"/>
          <w:tblHeader w:val="0"/>
        </w:trPr>
        <w:tc>
          <w:tcPr>
            <w:shd w:fill="632423" w:val="clea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03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CATEGORÍA</w:t>
            </w:r>
          </w:p>
        </w:tc>
        <w:tc>
          <w:tcPr>
            <w:shd w:fill="632423" w:val="clea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2" w:lineRule="auto"/>
              <w:ind w:left="114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TIPO DE DATOS PERSONALES</w:t>
            </w:r>
          </w:p>
        </w:tc>
      </w:tr>
      <w:tr>
        <w:trPr>
          <w:cantSplit w:val="0"/>
          <w:trHeight w:val="475" w:hRule="atLeast"/>
          <w:tblHeader w:val="0"/>
        </w:trPr>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0" w:right="983"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Identificativos</w:t>
            </w:r>
          </w:p>
        </w:tc>
        <w:tc>
          <w:tcPr/>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Domicilio</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Identificación oficial</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CURP</w:t>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RFC</w:t>
            </w:r>
          </w:p>
          <w:p w:rsidR="00000000" w:rsidDel="00000000" w:rsidP="00000000" w:rsidRDefault="00000000" w:rsidRPr="00000000" w14:paraId="0000001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Firma</w:t>
            </w:r>
          </w:p>
          <w:p w:rsidR="00000000" w:rsidDel="00000000" w:rsidP="00000000" w:rsidRDefault="00000000" w:rsidRPr="00000000" w14:paraId="0000002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Fecha de nacimiento</w:t>
            </w:r>
          </w:p>
          <w:p w:rsidR="00000000" w:rsidDel="00000000" w:rsidP="00000000" w:rsidRDefault="00000000" w:rsidRPr="00000000" w14:paraId="0000002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Edad</w:t>
            </w:r>
          </w:p>
        </w:tc>
      </w:tr>
      <w:tr>
        <w:trPr>
          <w:cantSplit w:val="0"/>
          <w:trHeight w:val="475" w:hRule="atLeast"/>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0" w:right="983"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Electrónicos</w:t>
            </w:r>
          </w:p>
        </w:tc>
        <w:tc>
          <w:tcPr/>
          <w:p w:rsidR="00000000" w:rsidDel="00000000" w:rsidP="00000000" w:rsidRDefault="00000000" w:rsidRPr="00000000" w14:paraId="0000002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Correo Electrónico</w:t>
            </w:r>
          </w:p>
        </w:tc>
      </w:tr>
      <w:tr>
        <w:trPr>
          <w:cantSplit w:val="0"/>
          <w:trHeight w:val="475"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1.99999999999994" w:lineRule="auto"/>
              <w:ind w:left="0" w:right="983"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Academicos</w:t>
            </w:r>
          </w:p>
        </w:tc>
        <w:tc>
          <w:tcPr/>
          <w:p w:rsidR="00000000" w:rsidDel="00000000" w:rsidP="00000000" w:rsidRDefault="00000000" w:rsidRPr="00000000" w14:paraId="0000002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Títulos</w:t>
            </w:r>
          </w:p>
          <w:p w:rsidR="00000000" w:rsidDel="00000000" w:rsidP="00000000" w:rsidRDefault="00000000" w:rsidRPr="00000000" w14:paraId="0000002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67" w:lineRule="auto"/>
              <w:ind w:left="1080" w:right="-2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Cédula profesionales.</w:t>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927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4635"/>
        <w:tblGridChange w:id="0">
          <w:tblGrid>
            <w:gridCol w:w="4635"/>
            <w:gridCol w:w="4635"/>
          </w:tblGrid>
        </w:tblGridChange>
      </w:tblGrid>
      <w:tr>
        <w:trPr>
          <w:cantSplit w:val="0"/>
          <w:tblHeader w:val="0"/>
        </w:trPr>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Laborales</w:t>
            </w:r>
          </w:p>
        </w:tc>
        <w:tc>
          <w:tcPr/>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leader="none" w:pos="255"/>
              </w:tabs>
              <w:spacing w:after="0" w:before="0" w:line="263.00000000000006"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Referencias personales</w:t>
            </w: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12"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Nombramiento</w:t>
            </w:r>
            <w:r w:rsidDel="00000000" w:rsidR="00000000" w:rsidRPr="00000000">
              <w:rPr>
                <w:rtl w:val="0"/>
              </w:rPr>
            </w:r>
          </w:p>
        </w:tc>
      </w:tr>
      <w:tr>
        <w:trPr>
          <w:cantSplit w:val="0"/>
          <w:tblHeader w:val="0"/>
        </w:trPr>
        <w:tc>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Datos Sobre Procedimientos Administrativos</w:t>
            </w:r>
          </w:p>
        </w:tc>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55"/>
              </w:tabs>
              <w:spacing w:after="0" w:before="0" w:line="263.00000000000006" w:lineRule="auto"/>
              <w:ind w:left="42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Información relativa a una persona que se encuentre sujeta a un procedimiento administrativo seguido en forma de juicio.</w:t>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pStyle w:val="Heading1"/>
        <w:numPr>
          <w:ilvl w:val="0"/>
          <w:numId w:val="5"/>
        </w:numPr>
        <w:tabs>
          <w:tab w:val="left" w:leader="none" w:pos="812"/>
        </w:tabs>
        <w:ind w:left="811" w:hanging="711"/>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pStyle w:val="Heading1"/>
        <w:tabs>
          <w:tab w:val="left" w:leader="none" w:pos="812"/>
        </w:tabs>
        <w:ind w:left="811"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Fundamento Legal.</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33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fundamento para el tratamiento de Datos Personales es el artículo 3 Fr. XXXIII de la Ley de Transparencia y Acceso a la información Pública para el Estado de Veracruz de Ignacio de la Llave.</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21" w:right="338"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Style w:val="Heading1"/>
        <w:numPr>
          <w:ilvl w:val="0"/>
          <w:numId w:val="5"/>
        </w:numPr>
        <w:tabs>
          <w:tab w:val="left" w:leader="none" w:pos="811"/>
        </w:tabs>
        <w:ind w:left="852" w:hanging="71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Transferencia de datos personales.</w:t>
      </w:r>
    </w:p>
    <w:p w:rsidR="00000000" w:rsidDel="00000000" w:rsidP="00000000" w:rsidRDefault="00000000" w:rsidRPr="00000000" w14:paraId="00000038">
      <w:pPr>
        <w:pStyle w:val="Heading1"/>
        <w:tabs>
          <w:tab w:val="left" w:leader="none" w:pos="811"/>
        </w:tabs>
        <w:ind w:left="852"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ffffff" w:val="clear"/>
        <w:spacing w:after="0" w:before="0" w:line="240" w:lineRule="auto"/>
        <w:ind w:left="852"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 informa que no se realizarán transferencias que requieran su consentimiento, salvo aquellas que sean necesarias para atender requerimientos de información de una autoridad competente, debidamente fundados y motivados.</w:t>
      </w:r>
    </w:p>
    <w:p w:rsidR="00000000" w:rsidDel="00000000" w:rsidP="00000000" w:rsidRDefault="00000000" w:rsidRPr="00000000" w14:paraId="0000003A">
      <w:pPr>
        <w:pStyle w:val="Heading1"/>
        <w:tabs>
          <w:tab w:val="left" w:leader="none" w:pos="811"/>
        </w:tabs>
        <w:ind w:lef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pStyle w:val="Heading1"/>
        <w:numPr>
          <w:ilvl w:val="0"/>
          <w:numId w:val="5"/>
        </w:numPr>
        <w:tabs>
          <w:tab w:val="left" w:leader="none" w:pos="809"/>
        </w:tabs>
        <w:ind w:left="808" w:hanging="708"/>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Derechos ARCO.</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Usted tiene derecho a conocer que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utilizada conforme a los principios, deberes u obligaciones previstas en la ley (Cancelación); así como oponerse al uso de sus datos personales para fines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 w:line="276" w:lineRule="auto"/>
        <w:ind w:left="821" w:right="338" w:hanging="0.9999999999999432"/>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específicos (Oposición). Estos derechos se conocen como derechos ARCO.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el ejercicio de cualquiera de los derechos ARCO, usted podrá presentar solicitud ante la Coordinación de Transparencia del Ayuntamiento de Actopan, mediante un escrito libre, al correo electrónico </w:t>
      </w:r>
      <w:hyperlink r:id="rId7">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transparencia@actopanver.gob.mx</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formato disponible en la página </w:t>
      </w: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https://actopanver.gob.mx/transparencia/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Ley 875/ XIX y XX o en la Plataforma Nacional de Transparencia </w:t>
      </w:r>
      <w:hyperlink r:id="rId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http://www.plataformadetransparencia.org.mx</w:t>
        </w:r>
      </w:hyperlink>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cual deberá contener:</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nombre del titular y su domicilio o cualquier otro medio para recibir notificaciones;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documentos que acrediten la identidad del titular, y en su caso, la personalidad e identidad de su representante;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27"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 ser posible, el área responsable que trata los datos personales;</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descripción clara y precisa de los datos personales respecto de los que se busca ejercer alguno de los derechos ARCO, salvo que se trate del derecho de acceso; </w:t>
      </w:r>
    </w:p>
    <w:p w:rsidR="00000000" w:rsidDel="00000000" w:rsidP="00000000" w:rsidRDefault="00000000" w:rsidRPr="00000000" w14:paraId="00000047">
      <w:pPr>
        <w:tabs>
          <w:tab w:val="left" w:leader="none" w:pos="6075"/>
        </w:tabs>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leader="none" w:pos="6075"/>
        </w:tabs>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leader="none" w:pos="6075"/>
        </w:tabs>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leader="none" w:pos="6075"/>
        </w:tabs>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leader="none" w:pos="6075"/>
        </w:tabs>
        <w:rPr>
          <w:rFonts w:ascii="Arial" w:cs="Arial" w:eastAsia="Arial" w:hAnsi="Arial"/>
        </w:rPr>
      </w:pP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descripción del derecho ARCO que se pretende ejercer, o bien, lo que solicita el titular; 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4" w:line="240" w:lineRule="auto"/>
        <w:ind w:left="827"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Cualquier otro elemento o documento que facilite la localización de los datos personales, en su caso.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82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especificas con las que no se está de acuerdo, siempre que no sea un requisito obligatorio.</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Unidad de Transparencia, responderá en el medio que el titular de los datos personales designe en su solicitud, en un plazo de 15 días hábiles, que puede ser ampliado por 10 días hábiles más previa notificación. La respuesta indicará si la solicitud de acceso, rectificación, cancelación u oposición es procedente, en su caso,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809"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hará efectivo dentro de los últimos 15 días hábiles siguientes a la fecha en que comunique la respuesta.</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33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pStyle w:val="Heading1"/>
        <w:numPr>
          <w:ilvl w:val="0"/>
          <w:numId w:val="5"/>
        </w:numPr>
        <w:tabs>
          <w:tab w:val="left" w:leader="none" w:pos="809"/>
          <w:tab w:val="left" w:leader="none" w:pos="810"/>
        </w:tabs>
        <w:spacing w:after="44" w:before="52" w:lineRule="auto"/>
        <w:ind w:left="809" w:hanging="709"/>
        <w:rPr>
          <w:rFonts w:ascii="Arial" w:cs="Arial" w:eastAsia="Arial" w:hAnsi="Arial"/>
          <w:sz w:val="22"/>
          <w:szCs w:val="22"/>
        </w:rPr>
      </w:pPr>
      <w:r w:rsidDel="00000000" w:rsidR="00000000" w:rsidRPr="00000000">
        <w:rPr>
          <w:rFonts w:ascii="Arial" w:cs="Arial" w:eastAsia="Arial" w:hAnsi="Arial"/>
          <w:sz w:val="22"/>
          <w:szCs w:val="22"/>
          <w:rtl w:val="0"/>
        </w:rPr>
        <w:t xml:space="preserve">Datos de la Unidad de Transparencia para solicitudes de derechos ARCO.</w:t>
      </w:r>
    </w:p>
    <w:tbl>
      <w:tblPr>
        <w:tblStyle w:val="Table3"/>
        <w:tblW w:w="8109.0" w:type="dxa"/>
        <w:jc w:val="left"/>
        <w:tblInd w:w="8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71"/>
        <w:gridCol w:w="5938"/>
        <w:tblGridChange w:id="0">
          <w:tblGrid>
            <w:gridCol w:w="2171"/>
            <w:gridCol w:w="5938"/>
          </w:tblGrid>
        </w:tblGridChange>
      </w:tblGrid>
      <w:tr>
        <w:trPr>
          <w:cantSplit w:val="0"/>
          <w:trHeight w:val="674" w:hRule="atLeast"/>
          <w:tblHeader w:val="0"/>
        </w:trPr>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Domicilio:</w:t>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Calle 16 de septiembre No. 46, Col. Centro, Segunda Planta de las instalaciones del DIF Municipal, Actopan, Ver.</w:t>
            </w:r>
          </w:p>
        </w:tc>
      </w:tr>
      <w:tr>
        <w:trPr>
          <w:cantSplit w:val="0"/>
          <w:trHeight w:val="338" w:hRule="atLeast"/>
          <w:tblHeader w:val="0"/>
        </w:trPr>
        <w:tc>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Correo electrónico:</w:t>
            </w:r>
          </w:p>
        </w:tc>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 w:right="0" w:firstLine="0"/>
              <w:jc w:val="left"/>
              <w:rPr>
                <w:rFonts w:ascii="Arial" w:cs="Arial" w:eastAsia="Arial" w:hAnsi="Arial"/>
                <w:b w:val="0"/>
                <w:i w:val="0"/>
                <w:smallCaps w:val="0"/>
                <w:strike w:val="0"/>
                <w:color w:val="000000"/>
                <w:sz w:val="22"/>
                <w:szCs w:val="22"/>
                <w:u w:val="none"/>
                <w:shd w:fill="auto" w:val="clear"/>
                <w:vertAlign w:val="baseline"/>
              </w:rPr>
            </w:pPr>
            <w:hyperlink r:id="rId10">
              <w:r w:rsidDel="00000000" w:rsidR="00000000" w:rsidRPr="00000000">
                <w:rPr>
                  <w:rFonts w:ascii="Arial" w:cs="Arial" w:eastAsia="Arial" w:hAnsi="Arial"/>
                  <w:b w:val="0"/>
                  <w:i w:val="0"/>
                  <w:smallCaps w:val="0"/>
                  <w:strike w:val="0"/>
                  <w:color w:val="0000ff"/>
                  <w:sz w:val="22"/>
                  <w:szCs w:val="22"/>
                  <w:u w:val="none"/>
                  <w:shd w:fill="auto" w:val="clear"/>
                  <w:vertAlign w:val="baseline"/>
                  <w:rtl w:val="0"/>
                </w:rPr>
                <w:t xml:space="preserve">transparencia@actopanver.gob.mx</w:t>
              </w:r>
            </w:hyperlink>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809"/>
          <w:tab w:val="left" w:leader="none" w:pos="810"/>
        </w:tabs>
        <w:spacing w:after="0" w:before="0" w:line="240" w:lineRule="auto"/>
        <w:ind w:left="809" w:right="0" w:hanging="70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Cambios al Aviso de Privacidad.</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 w:line="276" w:lineRule="auto"/>
        <w:ind w:left="821"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caso de realizar alguna modificación al Aviso de Privacidad, se le hará de su conocimiento mediante el portal: </w:t>
      </w:r>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https://www.actopanver.gob.mx/transparencia/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sectPr>
      <w:headerReference r:id="rId11" w:type="default"/>
      <w:footerReference r:id="rId12" w:type="default"/>
      <w:pgSz w:h="15840" w:w="12240" w:orient="portrait"/>
      <w:pgMar w:bottom="1340" w:top="1360" w:left="1600" w:right="1360" w:header="153" w:footer="115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1" distB="0" distT="0" distL="0" distR="0" hidden="0" layoutInCell="1" locked="0" relativeHeight="0" simplePos="0">
          <wp:simplePos x="0" y="0"/>
          <wp:positionH relativeFrom="page">
            <wp:posOffset>-374649</wp:posOffset>
          </wp:positionH>
          <wp:positionV relativeFrom="page">
            <wp:posOffset>-160654</wp:posOffset>
          </wp:positionV>
          <wp:extent cx="8201647" cy="10352898"/>
          <wp:effectExtent b="0" l="0" r="0" t="0"/>
          <wp:wrapNone/>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201647" cy="10352898"/>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upperRoman"/>
      <w:lvlText w:val="%1."/>
      <w:lvlJc w:val="left"/>
      <w:pPr>
        <w:ind w:left="852" w:hanging="710"/>
      </w:pPr>
      <w:rPr>
        <w:rFonts w:ascii="Calibri" w:cs="Calibri" w:eastAsia="Calibri" w:hAnsi="Calibri"/>
        <w:b w:val="1"/>
        <w:i w:val="0"/>
        <w:sz w:val="24"/>
        <w:szCs w:val="24"/>
      </w:rPr>
    </w:lvl>
    <w:lvl w:ilvl="1">
      <w:start w:val="0"/>
      <w:numFmt w:val="bullet"/>
      <w:lvlText w:val="o"/>
      <w:lvlJc w:val="left"/>
      <w:pPr>
        <w:ind w:left="1029" w:hanging="360"/>
      </w:pPr>
      <w:rPr>
        <w:rFonts w:ascii="Courier New" w:cs="Courier New" w:eastAsia="Courier New" w:hAnsi="Courier New"/>
        <w:b w:val="0"/>
        <w:i w:val="0"/>
        <w:sz w:val="24"/>
        <w:szCs w:val="24"/>
      </w:rPr>
    </w:lvl>
    <w:lvl w:ilvl="2">
      <w:start w:val="0"/>
      <w:numFmt w:val="bullet"/>
      <w:lvlText w:val="•"/>
      <w:lvlJc w:val="left"/>
      <w:pPr>
        <w:ind w:left="1944" w:hanging="360"/>
      </w:pPr>
      <w:rPr/>
    </w:lvl>
    <w:lvl w:ilvl="3">
      <w:start w:val="0"/>
      <w:numFmt w:val="bullet"/>
      <w:lvlText w:val="•"/>
      <w:lvlJc w:val="left"/>
      <w:pPr>
        <w:ind w:left="2866" w:hanging="360"/>
      </w:pPr>
      <w:rPr/>
    </w:lvl>
    <w:lvl w:ilvl="4">
      <w:start w:val="0"/>
      <w:numFmt w:val="bullet"/>
      <w:lvlText w:val="•"/>
      <w:lvlJc w:val="left"/>
      <w:pPr>
        <w:ind w:left="3788" w:hanging="360"/>
      </w:pPr>
      <w:rPr/>
    </w:lvl>
    <w:lvl w:ilvl="5">
      <w:start w:val="0"/>
      <w:numFmt w:val="bullet"/>
      <w:lvlText w:val="•"/>
      <w:lvlJc w:val="left"/>
      <w:pPr>
        <w:ind w:left="4710" w:hanging="360"/>
      </w:pPr>
      <w:rPr/>
    </w:lvl>
    <w:lvl w:ilvl="6">
      <w:start w:val="0"/>
      <w:numFmt w:val="bullet"/>
      <w:lvlText w:val="•"/>
      <w:lvlJc w:val="left"/>
      <w:pPr>
        <w:ind w:left="5633" w:hanging="360"/>
      </w:pPr>
      <w:rPr/>
    </w:lvl>
    <w:lvl w:ilvl="7">
      <w:start w:val="0"/>
      <w:numFmt w:val="bullet"/>
      <w:lvlText w:val="•"/>
      <w:lvlJc w:val="left"/>
      <w:pPr>
        <w:ind w:left="6555" w:hanging="360"/>
      </w:pPr>
      <w:rPr/>
    </w:lvl>
    <w:lvl w:ilvl="8">
      <w:start w:val="0"/>
      <w:numFmt w:val="bullet"/>
      <w:lvlText w:val="•"/>
      <w:lvlJc w:val="left"/>
      <w:pPr>
        <w:ind w:left="7477"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810" w:hanging="71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Pr>
      <w:rFonts w:ascii="Calibri" w:cs="Calibri" w:eastAsia="Calibri" w:hAnsi="Calibri"/>
    </w:rPr>
  </w:style>
  <w:style w:type="paragraph" w:styleId="Ttulo1">
    <w:name w:val="heading 1"/>
    <w:basedOn w:val="Normal"/>
    <w:uiPriority w:val="1"/>
    <w:qFormat w:val="1"/>
    <w:pPr>
      <w:ind w:left="810" w:hanging="710"/>
      <w:outlineLvl w:val="0"/>
    </w:pPr>
    <w:rPr>
      <w:b w:val="1"/>
      <w:bCs w:val="1"/>
      <w:sz w:val="24"/>
      <w:szCs w:val="24"/>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Textoindependiente">
    <w:name w:val="Body Text"/>
    <w:basedOn w:val="Normal"/>
    <w:link w:val="TextoindependienteCar"/>
    <w:uiPriority w:val="1"/>
    <w:qFormat w:val="1"/>
    <w:rPr>
      <w:sz w:val="24"/>
      <w:szCs w:val="24"/>
    </w:rPr>
  </w:style>
  <w:style w:type="paragraph" w:styleId="Prrafodelista">
    <w:name w:val="List Paragraph"/>
    <w:basedOn w:val="Normal"/>
    <w:qFormat w:val="1"/>
    <w:pPr>
      <w:ind w:left="987" w:hanging="360"/>
    </w:pPr>
  </w:style>
  <w:style w:type="paragraph" w:styleId="TableParagraph" w:customStyle="1">
    <w:name w:val="Table Paragraph"/>
    <w:basedOn w:val="Normal"/>
    <w:qFormat w:val="1"/>
    <w:pPr>
      <w:ind w:left="424"/>
    </w:pPr>
  </w:style>
  <w:style w:type="paragraph" w:styleId="Encabezado">
    <w:name w:val="header"/>
    <w:basedOn w:val="Normal"/>
    <w:link w:val="EncabezadoCar"/>
    <w:uiPriority w:val="99"/>
    <w:unhideWhenUsed w:val="1"/>
    <w:rsid w:val="004C4484"/>
    <w:pPr>
      <w:tabs>
        <w:tab w:val="center" w:pos="4419"/>
        <w:tab w:val="right" w:pos="8838"/>
      </w:tabs>
    </w:pPr>
  </w:style>
  <w:style w:type="character" w:styleId="EncabezadoCar" w:customStyle="1">
    <w:name w:val="Encabezado Car"/>
    <w:basedOn w:val="Fuentedeprrafopredeter"/>
    <w:link w:val="Encabezado"/>
    <w:uiPriority w:val="99"/>
    <w:rsid w:val="004C4484"/>
    <w:rPr>
      <w:rFonts w:ascii="Calibri" w:cs="Calibri" w:eastAsia="Calibri" w:hAnsi="Calibri"/>
    </w:rPr>
  </w:style>
  <w:style w:type="paragraph" w:styleId="Piedepgina">
    <w:name w:val="footer"/>
    <w:basedOn w:val="Normal"/>
    <w:link w:val="PiedepginaCar"/>
    <w:uiPriority w:val="99"/>
    <w:unhideWhenUsed w:val="1"/>
    <w:rsid w:val="004C4484"/>
    <w:pPr>
      <w:tabs>
        <w:tab w:val="center" w:pos="4419"/>
        <w:tab w:val="right" w:pos="8838"/>
      </w:tabs>
    </w:pPr>
  </w:style>
  <w:style w:type="character" w:styleId="PiedepginaCar" w:customStyle="1">
    <w:name w:val="Pie de página Car"/>
    <w:basedOn w:val="Fuentedeprrafopredeter"/>
    <w:link w:val="Piedepgina"/>
    <w:uiPriority w:val="99"/>
    <w:rsid w:val="004C4484"/>
    <w:rPr>
      <w:rFonts w:ascii="Calibri" w:cs="Calibri" w:eastAsia="Calibri" w:hAnsi="Calibri"/>
    </w:rPr>
  </w:style>
  <w:style w:type="character" w:styleId="Hipervnculo">
    <w:name w:val="Hyperlink"/>
    <w:basedOn w:val="Fuentedeprrafopredeter"/>
    <w:uiPriority w:val="99"/>
    <w:unhideWhenUsed w:val="1"/>
    <w:rsid w:val="004C4484"/>
    <w:rPr>
      <w:color w:val="0000ff" w:themeColor="hyperlink"/>
      <w:u w:val="single"/>
    </w:rPr>
  </w:style>
  <w:style w:type="paragraph" w:styleId="Default" w:customStyle="1">
    <w:name w:val="Default"/>
    <w:qFormat w:val="1"/>
    <w:rsid w:val="00901CC2"/>
    <w:pPr>
      <w:widowControl w:val="1"/>
      <w:suppressAutoHyphens w:val="1"/>
      <w:autoSpaceDE w:val="1"/>
      <w:autoSpaceDN w:val="1"/>
    </w:pPr>
    <w:rPr>
      <w:rFonts w:ascii="Tahoma" w:cs="Tahoma" w:eastAsia="Calibri" w:hAnsi="Tahoma"/>
      <w:color w:val="000000"/>
      <w:sz w:val="24"/>
      <w:szCs w:val="24"/>
      <w:lang w:val="es-MX"/>
    </w:rPr>
  </w:style>
  <w:style w:type="character" w:styleId="EnlacedeInternet" w:customStyle="1">
    <w:name w:val="Enlace de Internet"/>
    <w:basedOn w:val="Fuentedeprrafopredeter"/>
    <w:rsid w:val="00AB112D"/>
    <w:rPr>
      <w:color w:val="0000ff"/>
      <w:u w:val="single"/>
    </w:rPr>
  </w:style>
  <w:style w:type="character" w:styleId="Mencinsinresolver">
    <w:name w:val="Unresolved Mention"/>
    <w:basedOn w:val="Fuentedeprrafopredeter"/>
    <w:uiPriority w:val="99"/>
    <w:semiHidden w:val="1"/>
    <w:unhideWhenUsed w:val="1"/>
    <w:rsid w:val="00AE6119"/>
    <w:rPr>
      <w:color w:val="605e5c"/>
      <w:shd w:color="auto" w:fill="e1dfdd" w:val="clear"/>
    </w:rPr>
  </w:style>
  <w:style w:type="character" w:styleId="TextodegloboCar" w:customStyle="1">
    <w:name w:val="Texto de globo Car"/>
    <w:basedOn w:val="Fuentedeprrafopredeter"/>
    <w:link w:val="Textodeglobo"/>
    <w:uiPriority w:val="99"/>
    <w:semiHidden w:val="1"/>
    <w:qFormat w:val="1"/>
    <w:rsid w:val="00575382"/>
    <w:rPr>
      <w:rFonts w:ascii="Tahoma" w:cs="Tahoma" w:hAnsi="Tahoma"/>
      <w:sz w:val="16"/>
      <w:szCs w:val="16"/>
    </w:rPr>
  </w:style>
  <w:style w:type="paragraph" w:styleId="Textodeglobo">
    <w:name w:val="Balloon Text"/>
    <w:basedOn w:val="Normal"/>
    <w:link w:val="TextodegloboCar"/>
    <w:uiPriority w:val="99"/>
    <w:semiHidden w:val="1"/>
    <w:unhideWhenUsed w:val="1"/>
    <w:qFormat w:val="1"/>
    <w:rsid w:val="00575382"/>
    <w:pPr>
      <w:widowControl w:val="1"/>
      <w:suppressAutoHyphens w:val="1"/>
      <w:autoSpaceDE w:val="1"/>
      <w:autoSpaceDN w:val="1"/>
    </w:pPr>
    <w:rPr>
      <w:rFonts w:ascii="Tahoma" w:cs="Tahoma" w:hAnsi="Tahoma" w:eastAsiaTheme="minorHAnsi"/>
      <w:sz w:val="16"/>
      <w:szCs w:val="16"/>
    </w:rPr>
  </w:style>
  <w:style w:type="character" w:styleId="TextodegloboCar1" w:customStyle="1">
    <w:name w:val="Texto de globo Car1"/>
    <w:basedOn w:val="Fuentedeprrafopredeter"/>
    <w:uiPriority w:val="99"/>
    <w:semiHidden w:val="1"/>
    <w:rsid w:val="00575382"/>
    <w:rPr>
      <w:rFonts w:ascii="Segoe UI" w:cs="Segoe UI" w:eastAsia="Calibri" w:hAnsi="Segoe UI"/>
      <w:sz w:val="18"/>
      <w:szCs w:val="18"/>
    </w:rPr>
  </w:style>
  <w:style w:type="character" w:styleId="TextoindependienteCar" w:customStyle="1">
    <w:name w:val="Texto independiente Car"/>
    <w:basedOn w:val="Fuentedeprrafopredeter"/>
    <w:link w:val="Textoindependiente"/>
    <w:uiPriority w:val="1"/>
    <w:qFormat w:val="1"/>
    <w:rsid w:val="00575382"/>
    <w:rPr>
      <w:rFonts w:ascii="Calibri" w:cs="Calibri" w:eastAsia="Calibri" w:hAnsi="Calibri"/>
      <w:sz w:val="24"/>
      <w:szCs w:val="24"/>
    </w:rPr>
  </w:style>
  <w:style w:type="character" w:styleId="Heading2Char" w:customStyle="1">
    <w:name w:val="Heading 2 Char"/>
    <w:uiPriority w:val="9"/>
    <w:qFormat w:val="1"/>
    <w:rsid w:val="003C7A2F"/>
    <w:rPr>
      <w:rFonts w:ascii="Arial" w:cs="Arial" w:eastAsia="Arial" w:hAnsi="Arial"/>
      <w:sz w:val="34"/>
    </w:rPr>
  </w:style>
  <w:style w:type="character" w:styleId="Heading3Char" w:customStyle="1">
    <w:name w:val="Heading 3 Char"/>
    <w:uiPriority w:val="9"/>
    <w:qFormat w:val="1"/>
    <w:rsid w:val="00BF1A0B"/>
    <w:rPr>
      <w:rFonts w:ascii="Arial" w:cs="Arial" w:eastAsia="Arial" w:hAnsi="Arial"/>
      <w:sz w:val="30"/>
      <w:szCs w:val="30"/>
    </w:rPr>
  </w:style>
  <w:style w:type="paragraph" w:styleId="LO-normal" w:customStyle="1">
    <w:name w:val="LO-normal"/>
    <w:qFormat w:val="1"/>
    <w:rsid w:val="00BF1A0B"/>
    <w:pPr>
      <w:widowControl w:val="1"/>
      <w:suppressAutoHyphens w:val="1"/>
      <w:autoSpaceDE w:val="1"/>
      <w:autoSpaceDN w:val="1"/>
      <w:spacing w:after="200" w:line="276" w:lineRule="auto"/>
    </w:pPr>
    <w:rPr>
      <w:rFonts w:ascii="Calibri" w:cs="Calibri" w:eastAsia="Calibri" w:hAnsi="Calibri"/>
      <w:lang w:bidi="hi-IN" w:eastAsia="zh-CN" w:val="es-MX"/>
    </w:rPr>
  </w:style>
  <w:style w:type="table" w:styleId="Tablaconcuadrcula">
    <w:name w:val="Table Grid"/>
    <w:basedOn w:val="Tablanormal"/>
    <w:uiPriority w:val="39"/>
    <w:rsid w:val="007D053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nespaciado">
    <w:name w:val="No Spacing"/>
    <w:uiPriority w:val="1"/>
    <w:qFormat w:val="1"/>
    <w:rsid w:val="002B2BE1"/>
    <w:rPr>
      <w:rFonts w:ascii="Calibri" w:cs="Calibri" w:eastAsia="Calibri" w:hAnsi="Calibri"/>
    </w:rPr>
  </w:style>
  <w:style w:type="character" w:styleId="WW8Num1z1" w:customStyle="1">
    <w:name w:val="WW8Num1z1"/>
    <w:qFormat w:val="1"/>
    <w:rsid w:val="00DE7AD4"/>
    <w:rPr>
      <w:rFonts w:ascii="Symbol" w:cs="Symbol" w:hAnsi="Symbol"/>
      <w:lang w:bidi="es-ES" w:eastAsia="es-E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a@actopanver.gob.mx" TargetMode="External"/><Relationship Id="rId12" Type="http://schemas.openxmlformats.org/officeDocument/2006/relationships/footer" Target="footer1.xml"/><Relationship Id="rId9" Type="http://schemas.openxmlformats.org/officeDocument/2006/relationships/hyperlink" Target="http://www.plataformadetransparencia.org.m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actopanver.gob.mx" TargetMode="External"/><Relationship Id="rId8" Type="http://schemas.openxmlformats.org/officeDocument/2006/relationships/hyperlink" Target="https://actopanver.gob.mx/transparenc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XpgMjjI1AILKggxVgS2bqm43lA==">AMUW2mUf6vfeE5Ev127A43AsBxdSQfoP51XfnlIalxD1EXSB5uKsw9E/9OL7MvFJ7zDhG5XPLosgez977oYPoyo4yehwgGo1S1rnCELZm7ClT5iPvEfvhsg=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2023-01-30T06:15:00Z</dcterms:created>
  <dc:creator>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PScript5.dll Version 5.2.2</vt:lpwstr>
  </property>
  <property fmtid="{D5CDD505-2E9C-101B-9397-08002B2CF9AE}" pid="4" name="LastSaved">
    <vt:filetime>2022-02-11T00:00:00Z</vt:filetime>
  </property>
</Properties>
</file>