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hd w:fill="ffffff" w:val="clear"/>
              <w:ind w:right="240"/>
              <w:jc w:val="center"/>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Aviso de Privacidad integral de Cédulas Catastrales, Certificados de Valor y Constancias de No adeudo o de Valor</w:t>
            </w:r>
            <w:r w:rsidDel="00000000" w:rsidR="00000000" w:rsidRPr="00000000">
              <w:rPr>
                <w:rtl w:val="0"/>
              </w:rPr>
            </w:r>
          </w:p>
          <w:p w:rsidR="00000000" w:rsidDel="00000000" w:rsidP="00000000" w:rsidRDefault="00000000" w:rsidRPr="00000000" w14:paraId="00000003">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5">
            <w:pPr>
              <w:shd w:fill="ffffff" w:val="clear"/>
              <w:ind w:right="2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shd w:fill="ffffff" w:val="clear"/>
              <w:ind w:right="2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7">
            <w:pPr>
              <w:shd w:fill="ffffff" w:val="clear"/>
              <w:ind w:right="24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r w:rsidDel="00000000" w:rsidR="00000000" w:rsidRPr="00000000">
              <w:rPr>
                <w:rFonts w:ascii="Arial" w:cs="Arial" w:eastAsia="Arial" w:hAnsi="Arial"/>
                <w:sz w:val="20"/>
                <w:szCs w:val="20"/>
                <w:rtl w:val="0"/>
              </w:rPr>
              <w:t xml:space="preserve">Las copias de prediales, credenciales (pasaporte o lector), así como comprobantes de domicilio (Agua, Luz o Teléfono) donde se especifican sus nombres y direcciones se utilizan para verificar en las cédulas que los posesionarios o poseedores de los predios son los correctos y no haya conflicto de intereses, así mismo los domicilios son utilizados para notificar los mismos trámites, y en la elaboración de informes o estadísticas por parte del área.</w:t>
            </w:r>
          </w:p>
          <w:p w:rsidR="00000000" w:rsidDel="00000000" w:rsidP="00000000" w:rsidRDefault="00000000" w:rsidRPr="00000000" w14:paraId="00000008">
            <w:pPr>
              <w:shd w:fill="ffffff" w:val="clear"/>
              <w:ind w:right="24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9">
            <w:pPr>
              <w:shd w:fill="ffffff" w:val="clear"/>
              <w:ind w:right="240"/>
              <w:jc w:val="both"/>
              <w:rPr>
                <w:rFonts w:ascii="Arial" w:cs="Arial" w:eastAsia="Arial" w:hAnsi="Arial"/>
                <w:color w:val="ff0000"/>
                <w:sz w:val="20"/>
                <w:szCs w:val="20"/>
              </w:rPr>
            </w:pPr>
            <w:r w:rsidDel="00000000" w:rsidR="00000000" w:rsidRPr="00000000">
              <w:rPr>
                <w:rFonts w:ascii="Arial" w:cs="Arial" w:eastAsia="Arial" w:hAnsi="Arial"/>
                <w:color w:val="000000"/>
                <w:sz w:val="20"/>
                <w:szCs w:val="20"/>
                <w:rtl w:val="0"/>
              </w:rPr>
              <w:t xml:space="preserve">De manera adicional, utilizaremos su información personal para las siguientes finalidades que no son necesarias, pero que nos permiten y facilitan brindarle una mejor atención: </w:t>
            </w:r>
            <w:r w:rsidDel="00000000" w:rsidR="00000000" w:rsidRPr="00000000">
              <w:rPr>
                <w:rtl w:val="0"/>
              </w:rPr>
            </w:r>
          </w:p>
          <w:p w:rsidR="00000000" w:rsidDel="00000000" w:rsidP="00000000" w:rsidRDefault="00000000" w:rsidRPr="00000000" w14:paraId="0000000A">
            <w:pPr>
              <w:shd w:fill="ffffff" w:val="clear"/>
              <w:ind w:right="2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fines estadísticos sin que se hagan identificables a los titulares, para mejorar los servicios e implementar medidas que resulten pertinentes que impulsen el ejercicio del derecho de acceso a la información. </w:t>
            </w:r>
          </w:p>
          <w:p w:rsidR="00000000" w:rsidDel="00000000" w:rsidP="00000000" w:rsidRDefault="00000000" w:rsidRPr="00000000" w14:paraId="0000000B">
            <w:pPr>
              <w:shd w:fill="ffffff" w:val="clear"/>
              <w:ind w:right="2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hd w:fill="ffffff" w:val="clear"/>
              <w:ind w:right="240"/>
              <w:jc w:val="both"/>
              <w:rPr>
                <w:rFonts w:ascii="Arial" w:cs="Arial" w:eastAsia="Arial" w:hAnsi="Arial"/>
                <w:color w:val="ff0000"/>
                <w:sz w:val="20"/>
                <w:szCs w:val="20"/>
              </w:rPr>
            </w:pPr>
            <w:r w:rsidDel="00000000" w:rsidR="00000000" w:rsidRPr="00000000">
              <w:rPr>
                <w:rFonts w:ascii="Arial" w:cs="Arial" w:eastAsia="Arial" w:hAnsi="Arial"/>
                <w:color w:val="000000"/>
                <w:sz w:val="20"/>
                <w:szCs w:val="20"/>
                <w:rtl w:val="0"/>
              </w:rPr>
              <w:t xml:space="preserve">En caso de que no desee que sus datos personales sean tratados para estos fines adicionales, esta plataforma le permitirá indicarlo o usted puede manifestarlo así al correo electrónico, catastro_actopan2022@hotmail.com</w:t>
            </w:r>
            <w:r w:rsidDel="00000000" w:rsidR="00000000" w:rsidRPr="00000000">
              <w:rPr>
                <w:rtl w:val="0"/>
              </w:rPr>
            </w:r>
          </w:p>
          <w:p w:rsidR="00000000" w:rsidDel="00000000" w:rsidP="00000000" w:rsidRDefault="00000000" w:rsidRPr="00000000" w14:paraId="0000000D">
            <w:pPr>
              <w:shd w:fill="ffffff" w:val="clear"/>
              <w:tabs>
                <w:tab w:val="left" w:leader="none" w:pos="2990"/>
              </w:tabs>
              <w:ind w:right="2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shd w:fill="ffffff" w:val="clear"/>
              <w:ind w:right="2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F">
            <w:pPr>
              <w:shd w:fill="ffffff" w:val="clear"/>
              <w:ind w:right="24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p>
          <w:p w:rsidR="00000000" w:rsidDel="00000000" w:rsidP="00000000" w:rsidRDefault="00000000" w:rsidRPr="00000000" w14:paraId="00000010">
            <w:pPr>
              <w:shd w:fill="ffffff" w:val="clear"/>
              <w:ind w:right="24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Copia de prediales, Recibos de Agua o Luz (para verificar nombre de los solicitantes y domicilios), teléfono celular y firma.</w:t>
            </w:r>
          </w:p>
          <w:p w:rsidR="00000000" w:rsidDel="00000000" w:rsidP="00000000" w:rsidRDefault="00000000" w:rsidRPr="00000000" w14:paraId="00000011">
            <w:pPr>
              <w:shd w:fill="ffffff" w:val="clear"/>
              <w:ind w:right="24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le informa que no se recaban datos personales sensibles.</w:t>
            </w:r>
          </w:p>
          <w:p w:rsidR="00000000" w:rsidDel="00000000" w:rsidP="00000000" w:rsidRDefault="00000000" w:rsidRPr="00000000" w14:paraId="00000013">
            <w:pPr>
              <w:shd w:fill="ffffff" w:val="clear"/>
              <w:ind w:right="24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4">
            <w:pPr>
              <w:shd w:fill="ffffff" w:val="clear"/>
              <w:ind w:right="2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w:t>
            </w:r>
          </w:p>
          <w:p w:rsidR="00000000" w:rsidDel="00000000" w:rsidP="00000000" w:rsidRDefault="00000000" w:rsidRPr="00000000" w14:paraId="00000015">
            <w:pPr>
              <w:shd w:fill="ffffff" w:val="clear"/>
              <w:ind w:right="24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fundamento para el tratamiento de datos personales y transferencias de datos personales es:</w:t>
            </w:r>
          </w:p>
          <w:p w:rsidR="00000000" w:rsidDel="00000000" w:rsidP="00000000" w:rsidRDefault="00000000" w:rsidRPr="00000000" w14:paraId="00000016">
            <w:pPr>
              <w:shd w:fill="ffffff" w:val="clear"/>
              <w:ind w:right="240"/>
              <w:jc w:val="both"/>
              <w:rPr>
                <w:rFonts w:ascii="Arial" w:cs="Arial" w:eastAsia="Arial" w:hAnsi="Arial"/>
                <w:b w:val="1"/>
                <w:color w:val="ff0000"/>
                <w:sz w:val="20"/>
                <w:szCs w:val="20"/>
              </w:rPr>
            </w:pPr>
            <w:r w:rsidDel="00000000" w:rsidR="00000000" w:rsidRPr="00000000">
              <w:rPr>
                <w:rFonts w:ascii="Arial" w:cs="Arial" w:eastAsia="Arial" w:hAnsi="Arial"/>
                <w:color w:val="000000"/>
                <w:sz w:val="20"/>
                <w:szCs w:val="20"/>
                <w:rtl w:val="0"/>
              </w:rPr>
              <w:t xml:space="preserve">Cap. I Art. 5 párrafos XXVII, XXXV, XXXVI,XXXVII, XXXVIII, XXXIX,XL,XLI,XLII,XLIII,XLIV; Art. 6 párrafo VIII inciso f),j); Art. 28, Art. 54 párrafo II,III,V; Art. 66 párrafo I, IX,X de La ley de Catastro del Estado de Veracruz de Ignacio de la Llave,</w:t>
            </w:r>
            <w:r w:rsidDel="00000000" w:rsidR="00000000" w:rsidRPr="00000000">
              <w:rPr>
                <w:rtl w:val="0"/>
              </w:rPr>
            </w:r>
          </w:p>
          <w:p w:rsidR="00000000" w:rsidDel="00000000" w:rsidP="00000000" w:rsidRDefault="00000000" w:rsidRPr="00000000" w14:paraId="00000017">
            <w:pPr>
              <w:shd w:fill="ffffff" w:val="clear"/>
              <w:ind w:right="2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shd w:fill="ffffff" w:val="clea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son compartidos con las personas, empresas, organizaciones y autoridades distintas al responsable, y para los fines que se describen a continuación:</w:t>
            </w:r>
          </w:p>
          <w:p w:rsidR="00000000" w:rsidDel="00000000" w:rsidP="00000000" w:rsidRDefault="00000000" w:rsidRPr="00000000" w14:paraId="0000001A">
            <w:pPr>
              <w:shd w:fill="ffffff" w:val="clear"/>
              <w:jc w:val="both"/>
              <w:rPr>
                <w:rFonts w:ascii="Arial" w:cs="Arial" w:eastAsia="Arial" w:hAnsi="Arial"/>
                <w:color w:val="000000"/>
                <w:sz w:val="20"/>
                <w:szCs w:val="20"/>
              </w:rPr>
            </w:pPr>
            <w:r w:rsidDel="00000000" w:rsidR="00000000" w:rsidRPr="00000000">
              <w:rPr>
                <w:rtl w:val="0"/>
              </w:rPr>
            </w:r>
          </w:p>
          <w:tbl>
            <w:tblPr>
              <w:tblStyle w:val="Table2"/>
              <w:tblW w:w="8596.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121"/>
              <w:gridCol w:w="1633"/>
              <w:gridCol w:w="2842"/>
              <w:tblGridChange w:id="0">
                <w:tblGrid>
                  <w:gridCol w:w="4121"/>
                  <w:gridCol w:w="1633"/>
                  <w:gridCol w:w="2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line="256"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line="25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País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line="256"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Finalidad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line="256"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Dirección General de Catastro y Valuación del Gobierno del Estado de Veracruz.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informar los cambios en los padrones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spacing w:line="256" w:lineRule="auto"/>
                    <w:jc w:val="both"/>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Delegación Regional de Catastro Zona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informar los cambios en los padrones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line="256" w:lineRule="auto"/>
                    <w:jc w:val="both"/>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Autoridades jurisdiccionales estatales o federales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 cao de interponer otro medio de impugnación previsto por otras leyes</w:t>
                  </w:r>
                </w:p>
              </w:tc>
            </w:tr>
          </w:tbl>
          <w:p w:rsidR="00000000" w:rsidDel="00000000" w:rsidP="00000000" w:rsidRDefault="00000000" w:rsidRPr="00000000" w14:paraId="00000027">
            <w:pPr>
              <w:shd w:fill="ffffff" w:val="clea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shd w:fill="ffffff" w:val="clear"/>
              <w:ind w:right="2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shd w:fill="ffffff" w:val="clear"/>
              <w:ind w:right="24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A">
            <w:pPr>
              <w:shd w:fill="ffffff" w:val="clear"/>
              <w:ind w:right="24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hd w:fill="ffffff" w:val="clear"/>
              <w:ind w:right="240"/>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w:t>
            </w:r>
            <w:hyperlink r:id="rId7">
              <w:r w:rsidDel="00000000" w:rsidR="00000000" w:rsidRPr="00000000">
                <w:rPr>
                  <w:rFonts w:ascii="Arial" w:cs="Arial" w:eastAsia="Arial" w:hAnsi="Arial"/>
                  <w:color w:val="0563c1"/>
                  <w:sz w:val="20"/>
                  <w:szCs w:val="20"/>
                  <w:u w:val="single"/>
                  <w:rtl w:val="0"/>
                </w:rPr>
                <w:t xml:space="preserve">catastro_actopan2022@hotmail.com</w:t>
              </w:r>
            </w:hyperlink>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 la que deberá contener: </w:t>
            </w:r>
            <w:r w:rsidDel="00000000" w:rsidR="00000000" w:rsidRPr="00000000">
              <w:rPr>
                <w:rtl w:val="0"/>
              </w:rPr>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Datos de la Unidad de Transparencia </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Domicilio: Calle 16 de Septiembre s/n Col. Centro Actopan Ver. CP.91480</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Teléfono: 2731570999 EXT. 2008</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institucional: </w:t>
            </w:r>
            <w:hyperlink r:id="rId8">
              <w:r w:rsidDel="00000000" w:rsidR="00000000" w:rsidRPr="00000000">
                <w:rPr>
                  <w:rFonts w:ascii="Arial" w:cs="Arial" w:eastAsia="Arial" w:hAnsi="Arial"/>
                  <w:color w:val="0563c1"/>
                  <w:sz w:val="20"/>
                  <w:szCs w:val="20"/>
                  <w:u w:val="single"/>
                  <w:rtl w:val="0"/>
                </w:rPr>
                <w:t xml:space="preserve">transparencia@actopanver.gob.mx</w:t>
              </w:r>
            </w:hyperlink>
            <w:r w:rsidDel="00000000" w:rsidR="00000000" w:rsidRPr="00000000">
              <w:rPr>
                <w:rtl w:val="0"/>
              </w:rPr>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se le hará de su conocimiento mediante: </w:t>
            </w:r>
            <w:hyperlink r:id="rId9">
              <w:r w:rsidDel="00000000" w:rsidR="00000000" w:rsidRPr="00000000">
                <w:rPr>
                  <w:rFonts w:ascii="Arial" w:cs="Arial" w:eastAsia="Arial" w:hAnsi="Arial"/>
                  <w:color w:val="0563c1"/>
                  <w:sz w:val="20"/>
                  <w:szCs w:val="20"/>
                  <w:u w:val="single"/>
                  <w:rtl w:val="0"/>
                </w:rPr>
                <w:t xml:space="preserve">https://actopanver.gob.mx/</w:t>
              </w:r>
            </w:hyperlink>
            <w:r w:rsidDel="00000000" w:rsidR="00000000" w:rsidRPr="00000000">
              <w:rPr>
                <w:rtl w:val="0"/>
              </w:rPr>
            </w:r>
          </w:p>
          <w:p w:rsidR="00000000" w:rsidDel="00000000" w:rsidP="00000000" w:rsidRDefault="00000000" w:rsidRPr="00000000" w14:paraId="00000042">
            <w:pPr>
              <w:jc w:val="both"/>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3">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5124"/>
    <w:pPr>
      <w:spacing w:after="0" w:line="240"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715124"/>
    <w:rPr>
      <w:color w:val="0563c1" w:themeColor="hyperlink"/>
      <w:u w:val="single"/>
    </w:rPr>
  </w:style>
  <w:style w:type="paragraph" w:styleId="Prrafodelista">
    <w:name w:val="List Paragraph"/>
    <w:basedOn w:val="Normal"/>
    <w:uiPriority w:val="34"/>
    <w:qFormat w:val="1"/>
    <w:rsid w:val="00715124"/>
    <w:pPr>
      <w:ind w:left="720"/>
      <w:contextualSpacing w:val="1"/>
    </w:pPr>
  </w:style>
  <w:style w:type="table" w:styleId="Tablaconcuadrcula">
    <w:name w:val="Table Grid"/>
    <w:basedOn w:val="Tablanormal"/>
    <w:uiPriority w:val="39"/>
    <w:rsid w:val="007151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Fuentedeprrafopredeter"/>
    <w:uiPriority w:val="99"/>
    <w:semiHidden w:val="1"/>
    <w:unhideWhenUsed w:val="1"/>
    <w:rsid w:val="007151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opanver.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tastro_actopan2022@hotmail.com" TargetMode="External"/><Relationship Id="rId8" Type="http://schemas.openxmlformats.org/officeDocument/2006/relationships/hyperlink" Target="mailto:transparencia@actopanver.go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ZE8oPqKxpD4M9mZEP4h8kR6J6Q==">AMUW2mXA7cbAwcd/hNzinJeMCI8C6r/eYDVpSobxLAXiqwbGBxUkj2VyhddXSEk9FEq4LGuoa82cYalwacmxhqlY5KfV0qGaa3978tbBofBRTquwBiUNm+rHoqnrOM2+YckS4S3BOLIh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2023-05-05T20:22:00Z</dcterms:created>
  <dc:creator>German Martinez</dc:creator>
</cp:coreProperties>
</file>